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6295"/>
        <w:gridCol w:w="1443"/>
        <w:gridCol w:w="2070"/>
      </w:tblGrid>
      <w:tr w:rsidR="00607E08" w14:paraId="03DA1430" w14:textId="77777777" w:rsidTr="009C785D">
        <w:tc>
          <w:tcPr>
            <w:tcW w:w="6295" w:type="dxa"/>
          </w:tcPr>
          <w:p w14:paraId="613165B7" w14:textId="77777777" w:rsidR="00607E08" w:rsidRDefault="00DF3565">
            <w:r w:rsidRPr="00DF3565">
              <w:rPr>
                <w:color w:val="FF0000"/>
              </w:rPr>
              <w:t>BENEFITS/PROTECTIONS TABLE</w:t>
            </w:r>
          </w:p>
        </w:tc>
        <w:tc>
          <w:tcPr>
            <w:tcW w:w="1443" w:type="dxa"/>
          </w:tcPr>
          <w:p w14:paraId="3F180256" w14:textId="77777777" w:rsidR="00607E08" w:rsidRDefault="00607E08" w:rsidP="00607E08">
            <w:pPr>
              <w:jc w:val="center"/>
            </w:pPr>
            <w:r>
              <w:t>MEMBERS</w:t>
            </w:r>
          </w:p>
        </w:tc>
        <w:tc>
          <w:tcPr>
            <w:tcW w:w="2070" w:type="dxa"/>
          </w:tcPr>
          <w:p w14:paraId="171E6374" w14:textId="77777777" w:rsidR="00607E08" w:rsidRDefault="00607E08">
            <w:r>
              <w:t>NON-MEMBERS</w:t>
            </w:r>
          </w:p>
        </w:tc>
      </w:tr>
      <w:tr w:rsidR="00607E08" w14:paraId="7666AD5F" w14:textId="77777777" w:rsidTr="009C785D">
        <w:tc>
          <w:tcPr>
            <w:tcW w:w="6295" w:type="dxa"/>
          </w:tcPr>
          <w:p w14:paraId="60452E02" w14:textId="77777777" w:rsidR="00607E08" w:rsidRDefault="00607E08">
            <w:r>
              <w:t xml:space="preserve">Provide representation if you are brought up on charges including but not limited to harassment, discrimination, violations of college policy, etc. Includes legal representation when appropriate in matters such as employment termination. </w:t>
            </w:r>
          </w:p>
        </w:tc>
        <w:tc>
          <w:tcPr>
            <w:tcW w:w="1443" w:type="dxa"/>
          </w:tcPr>
          <w:p w14:paraId="5902E1E2" w14:textId="77777777" w:rsidR="00607E08" w:rsidRDefault="00607E08" w:rsidP="00607E08">
            <w:pPr>
              <w:jc w:val="center"/>
            </w:pPr>
          </w:p>
          <w:p w14:paraId="5EA08F2A" w14:textId="77777777" w:rsidR="00607E08" w:rsidRDefault="00607E08" w:rsidP="00607E08">
            <w:pPr>
              <w:jc w:val="center"/>
            </w:pPr>
          </w:p>
          <w:p w14:paraId="50A125F5" w14:textId="77777777" w:rsidR="00607E08" w:rsidRDefault="00607E08" w:rsidP="00607E08">
            <w:pPr>
              <w:jc w:val="center"/>
            </w:pPr>
            <w:r>
              <w:t>YES</w:t>
            </w:r>
          </w:p>
        </w:tc>
        <w:tc>
          <w:tcPr>
            <w:tcW w:w="2070" w:type="dxa"/>
          </w:tcPr>
          <w:p w14:paraId="513A10D4" w14:textId="77777777" w:rsidR="00607E08" w:rsidRDefault="00607E08" w:rsidP="00607E08">
            <w:pPr>
              <w:jc w:val="center"/>
            </w:pPr>
          </w:p>
          <w:p w14:paraId="3BA47347" w14:textId="77777777" w:rsidR="00607E08" w:rsidRDefault="00607E08" w:rsidP="00607E08">
            <w:pPr>
              <w:jc w:val="center"/>
            </w:pPr>
          </w:p>
          <w:p w14:paraId="2EE7319A" w14:textId="77777777" w:rsidR="00607E08" w:rsidRDefault="00607E08" w:rsidP="009C785D">
            <w:pPr>
              <w:jc w:val="center"/>
            </w:pPr>
            <w:r>
              <w:t>NO</w:t>
            </w:r>
            <w:r w:rsidR="009C785D">
              <w:rPr>
                <w:rStyle w:val="FootnoteReference"/>
              </w:rPr>
              <w:footnoteReference w:id="1"/>
            </w:r>
          </w:p>
        </w:tc>
      </w:tr>
      <w:tr w:rsidR="00607E08" w14:paraId="00C97EA4" w14:textId="77777777" w:rsidTr="009C785D">
        <w:tc>
          <w:tcPr>
            <w:tcW w:w="6295" w:type="dxa"/>
          </w:tcPr>
          <w:p w14:paraId="5C15F9D7" w14:textId="77777777" w:rsidR="00607E08" w:rsidRDefault="00607E08"/>
        </w:tc>
        <w:tc>
          <w:tcPr>
            <w:tcW w:w="1443" w:type="dxa"/>
          </w:tcPr>
          <w:p w14:paraId="521E8F56" w14:textId="77777777" w:rsidR="00607E08" w:rsidRDefault="00607E08" w:rsidP="00607E08">
            <w:pPr>
              <w:jc w:val="center"/>
            </w:pPr>
          </w:p>
        </w:tc>
        <w:tc>
          <w:tcPr>
            <w:tcW w:w="2070" w:type="dxa"/>
          </w:tcPr>
          <w:p w14:paraId="796DB519" w14:textId="77777777" w:rsidR="00607E08" w:rsidRDefault="00607E08" w:rsidP="00607E08">
            <w:pPr>
              <w:jc w:val="center"/>
            </w:pPr>
          </w:p>
        </w:tc>
      </w:tr>
      <w:tr w:rsidR="00607E08" w14:paraId="76E28DE7" w14:textId="77777777" w:rsidTr="009C785D">
        <w:tc>
          <w:tcPr>
            <w:tcW w:w="6295" w:type="dxa"/>
          </w:tcPr>
          <w:p w14:paraId="4D0C051C" w14:textId="77777777" w:rsidR="00607E08" w:rsidRDefault="00607E08">
            <w:r>
              <w:t>Provide grievance protections when your rights under our contract are violated. Including violations of your seniority.</w:t>
            </w:r>
          </w:p>
        </w:tc>
        <w:tc>
          <w:tcPr>
            <w:tcW w:w="1443" w:type="dxa"/>
          </w:tcPr>
          <w:p w14:paraId="612CF177" w14:textId="77777777" w:rsidR="00607E08" w:rsidRDefault="00607E08" w:rsidP="00607E08">
            <w:pPr>
              <w:jc w:val="center"/>
            </w:pPr>
          </w:p>
          <w:p w14:paraId="143855EC" w14:textId="77777777" w:rsidR="00607E08" w:rsidRDefault="00607E08" w:rsidP="00607E08">
            <w:pPr>
              <w:jc w:val="center"/>
            </w:pPr>
            <w:r>
              <w:t>YES</w:t>
            </w:r>
          </w:p>
        </w:tc>
        <w:tc>
          <w:tcPr>
            <w:tcW w:w="2070" w:type="dxa"/>
          </w:tcPr>
          <w:p w14:paraId="50450398" w14:textId="77777777" w:rsidR="00607E08" w:rsidRDefault="00607E08" w:rsidP="00607E08">
            <w:pPr>
              <w:jc w:val="center"/>
            </w:pPr>
          </w:p>
          <w:p w14:paraId="02A7B54A" w14:textId="77777777" w:rsidR="00607E08" w:rsidRDefault="00607E08" w:rsidP="00607E08">
            <w:pPr>
              <w:jc w:val="center"/>
            </w:pPr>
            <w:r>
              <w:t>NO</w:t>
            </w:r>
            <w:r w:rsidR="009C785D">
              <w:rPr>
                <w:rStyle w:val="FootnoteReference"/>
              </w:rPr>
              <w:footnoteReference w:id="2"/>
            </w:r>
          </w:p>
        </w:tc>
      </w:tr>
      <w:tr w:rsidR="00607E08" w14:paraId="1CF0F98D" w14:textId="77777777" w:rsidTr="009C785D">
        <w:tc>
          <w:tcPr>
            <w:tcW w:w="6295" w:type="dxa"/>
          </w:tcPr>
          <w:p w14:paraId="6C6AD5B2" w14:textId="77777777" w:rsidR="00607E08" w:rsidRDefault="00607E08"/>
        </w:tc>
        <w:tc>
          <w:tcPr>
            <w:tcW w:w="1443" w:type="dxa"/>
          </w:tcPr>
          <w:p w14:paraId="59950B78" w14:textId="77777777" w:rsidR="00607E08" w:rsidRDefault="00607E08" w:rsidP="00607E08">
            <w:pPr>
              <w:jc w:val="center"/>
            </w:pPr>
          </w:p>
        </w:tc>
        <w:tc>
          <w:tcPr>
            <w:tcW w:w="2070" w:type="dxa"/>
          </w:tcPr>
          <w:p w14:paraId="45E5D389" w14:textId="77777777" w:rsidR="00607E08" w:rsidRDefault="00607E08" w:rsidP="00607E08">
            <w:pPr>
              <w:jc w:val="center"/>
            </w:pPr>
          </w:p>
        </w:tc>
      </w:tr>
      <w:tr w:rsidR="00607E08" w14:paraId="7C1CC06E" w14:textId="77777777" w:rsidTr="009C785D">
        <w:tc>
          <w:tcPr>
            <w:tcW w:w="6295" w:type="dxa"/>
          </w:tcPr>
          <w:p w14:paraId="63A25456" w14:textId="34C5C1FD" w:rsidR="00607E08" w:rsidRDefault="00BF173E">
            <w:r>
              <w:t xml:space="preserve">Run in union elections and vote in union elections. Give input into contract desires and vote in contract ratifications including </w:t>
            </w:r>
            <w:r w:rsidR="007C51D9">
              <w:t>voting</w:t>
            </w:r>
            <w:r>
              <w:t xml:space="preserve"> on tentative agreements.</w:t>
            </w:r>
          </w:p>
        </w:tc>
        <w:tc>
          <w:tcPr>
            <w:tcW w:w="1443" w:type="dxa"/>
          </w:tcPr>
          <w:p w14:paraId="658A5755" w14:textId="77777777" w:rsidR="00607E08" w:rsidRDefault="00607E08" w:rsidP="00607E08">
            <w:pPr>
              <w:jc w:val="center"/>
            </w:pPr>
          </w:p>
          <w:p w14:paraId="07454DE5" w14:textId="77777777" w:rsidR="00BF173E" w:rsidRDefault="00BF173E" w:rsidP="00607E08">
            <w:pPr>
              <w:jc w:val="center"/>
            </w:pPr>
            <w:r>
              <w:t>YES</w:t>
            </w:r>
          </w:p>
        </w:tc>
        <w:tc>
          <w:tcPr>
            <w:tcW w:w="2070" w:type="dxa"/>
          </w:tcPr>
          <w:p w14:paraId="08CA00E5" w14:textId="77777777" w:rsidR="00607E08" w:rsidRDefault="00607E08" w:rsidP="00607E08">
            <w:pPr>
              <w:jc w:val="center"/>
            </w:pPr>
          </w:p>
          <w:p w14:paraId="4890F53B" w14:textId="77777777" w:rsidR="00BF173E" w:rsidRDefault="00BF173E" w:rsidP="00607E08">
            <w:pPr>
              <w:jc w:val="center"/>
            </w:pPr>
            <w:r>
              <w:t>NO</w:t>
            </w:r>
          </w:p>
        </w:tc>
      </w:tr>
      <w:tr w:rsidR="00607E08" w14:paraId="4E444E59" w14:textId="77777777" w:rsidTr="009C785D">
        <w:tc>
          <w:tcPr>
            <w:tcW w:w="6295" w:type="dxa"/>
          </w:tcPr>
          <w:p w14:paraId="760F40A8" w14:textId="77777777" w:rsidR="00607E08" w:rsidRDefault="00607E08"/>
        </w:tc>
        <w:tc>
          <w:tcPr>
            <w:tcW w:w="1443" w:type="dxa"/>
          </w:tcPr>
          <w:p w14:paraId="4230613F" w14:textId="77777777" w:rsidR="00607E08" w:rsidRDefault="00607E08" w:rsidP="00607E08">
            <w:pPr>
              <w:jc w:val="center"/>
            </w:pPr>
          </w:p>
        </w:tc>
        <w:tc>
          <w:tcPr>
            <w:tcW w:w="2070" w:type="dxa"/>
          </w:tcPr>
          <w:p w14:paraId="550F7D3C" w14:textId="77777777" w:rsidR="00607E08" w:rsidRDefault="00607E08" w:rsidP="00607E08">
            <w:pPr>
              <w:jc w:val="center"/>
            </w:pPr>
          </w:p>
        </w:tc>
      </w:tr>
      <w:tr w:rsidR="00607E08" w14:paraId="398BE42C" w14:textId="77777777" w:rsidTr="009C785D">
        <w:tc>
          <w:tcPr>
            <w:tcW w:w="6295" w:type="dxa"/>
          </w:tcPr>
          <w:p w14:paraId="2D7E8739" w14:textId="77777777" w:rsidR="00607E08" w:rsidRDefault="00DF3565">
            <w:r>
              <w:t>Ability to take advantage of deeply discounted dental, vision and prescription plans for members and their immediate families. Likewise, additional group rate savings for other programs.</w:t>
            </w:r>
          </w:p>
        </w:tc>
        <w:tc>
          <w:tcPr>
            <w:tcW w:w="1443" w:type="dxa"/>
          </w:tcPr>
          <w:p w14:paraId="6A1655D8" w14:textId="77777777" w:rsidR="00607E08" w:rsidRDefault="00607E08" w:rsidP="00607E08">
            <w:pPr>
              <w:jc w:val="center"/>
            </w:pPr>
          </w:p>
          <w:p w14:paraId="75E82BE3" w14:textId="77777777" w:rsidR="00DF3565" w:rsidRDefault="00DF3565" w:rsidP="00607E08">
            <w:pPr>
              <w:jc w:val="center"/>
            </w:pPr>
            <w:r>
              <w:t>YES</w:t>
            </w:r>
          </w:p>
        </w:tc>
        <w:tc>
          <w:tcPr>
            <w:tcW w:w="2070" w:type="dxa"/>
          </w:tcPr>
          <w:p w14:paraId="66E89D4C" w14:textId="77777777" w:rsidR="00607E08" w:rsidRDefault="00607E08" w:rsidP="00607E08">
            <w:pPr>
              <w:jc w:val="center"/>
            </w:pPr>
          </w:p>
          <w:p w14:paraId="04E753F0" w14:textId="77777777" w:rsidR="00DF3565" w:rsidRDefault="00DF3565" w:rsidP="00607E08">
            <w:pPr>
              <w:jc w:val="center"/>
            </w:pPr>
            <w:r>
              <w:t>NO</w:t>
            </w:r>
          </w:p>
        </w:tc>
      </w:tr>
      <w:tr w:rsidR="00DF3565" w14:paraId="3C45ACA1" w14:textId="77777777" w:rsidTr="009C785D">
        <w:tc>
          <w:tcPr>
            <w:tcW w:w="6295" w:type="dxa"/>
          </w:tcPr>
          <w:p w14:paraId="46BD387C" w14:textId="77777777" w:rsidR="00DF3565" w:rsidRDefault="00DF3565"/>
        </w:tc>
        <w:tc>
          <w:tcPr>
            <w:tcW w:w="1443" w:type="dxa"/>
          </w:tcPr>
          <w:p w14:paraId="642CD858" w14:textId="77777777" w:rsidR="00DF3565" w:rsidRDefault="00DF3565" w:rsidP="00607E08">
            <w:pPr>
              <w:jc w:val="center"/>
            </w:pPr>
          </w:p>
        </w:tc>
        <w:tc>
          <w:tcPr>
            <w:tcW w:w="2070" w:type="dxa"/>
          </w:tcPr>
          <w:p w14:paraId="27748601" w14:textId="77777777" w:rsidR="00DF3565" w:rsidRDefault="00DF3565" w:rsidP="00607E08">
            <w:pPr>
              <w:jc w:val="center"/>
            </w:pPr>
          </w:p>
        </w:tc>
      </w:tr>
      <w:tr w:rsidR="00DF3565" w14:paraId="047B8816" w14:textId="77777777" w:rsidTr="009C785D">
        <w:tc>
          <w:tcPr>
            <w:tcW w:w="6295" w:type="dxa"/>
          </w:tcPr>
          <w:p w14:paraId="57FC7547" w14:textId="77777777" w:rsidR="00DF3565" w:rsidRDefault="00DF3565">
            <w:r>
              <w:t>Receive reimbursement for meetings and/or conferences that you attend in your discipline up to $500.00</w:t>
            </w:r>
          </w:p>
        </w:tc>
        <w:tc>
          <w:tcPr>
            <w:tcW w:w="1443" w:type="dxa"/>
          </w:tcPr>
          <w:p w14:paraId="0B2C0800" w14:textId="77777777" w:rsidR="00DF3565" w:rsidRDefault="00DF3565" w:rsidP="00607E08">
            <w:pPr>
              <w:jc w:val="center"/>
            </w:pPr>
          </w:p>
          <w:p w14:paraId="333BAE5C" w14:textId="77777777" w:rsidR="00DF3565" w:rsidRDefault="00DF3565" w:rsidP="00607E08">
            <w:pPr>
              <w:jc w:val="center"/>
            </w:pPr>
            <w:r>
              <w:t>YES</w:t>
            </w:r>
          </w:p>
        </w:tc>
        <w:tc>
          <w:tcPr>
            <w:tcW w:w="2070" w:type="dxa"/>
          </w:tcPr>
          <w:p w14:paraId="139CC868" w14:textId="77777777" w:rsidR="00DF3565" w:rsidRDefault="00DF3565" w:rsidP="00607E08">
            <w:pPr>
              <w:jc w:val="center"/>
            </w:pPr>
          </w:p>
          <w:p w14:paraId="00C0EE1D" w14:textId="77777777" w:rsidR="00DF3565" w:rsidRDefault="00DF3565" w:rsidP="00607E08">
            <w:pPr>
              <w:jc w:val="center"/>
            </w:pPr>
            <w:r>
              <w:t>NO</w:t>
            </w:r>
          </w:p>
        </w:tc>
      </w:tr>
      <w:tr w:rsidR="00DF3565" w14:paraId="359112A5" w14:textId="77777777" w:rsidTr="009C785D">
        <w:tc>
          <w:tcPr>
            <w:tcW w:w="6295" w:type="dxa"/>
          </w:tcPr>
          <w:p w14:paraId="1220544A" w14:textId="77777777" w:rsidR="00DF3565" w:rsidRDefault="00DF3565"/>
        </w:tc>
        <w:tc>
          <w:tcPr>
            <w:tcW w:w="1443" w:type="dxa"/>
          </w:tcPr>
          <w:p w14:paraId="7D4E64DE" w14:textId="77777777" w:rsidR="00DF3565" w:rsidRDefault="00DF3565" w:rsidP="00607E08">
            <w:pPr>
              <w:jc w:val="center"/>
            </w:pPr>
          </w:p>
        </w:tc>
        <w:tc>
          <w:tcPr>
            <w:tcW w:w="2070" w:type="dxa"/>
          </w:tcPr>
          <w:p w14:paraId="43808C3F" w14:textId="77777777" w:rsidR="00DF3565" w:rsidRDefault="00DF3565" w:rsidP="00607E08">
            <w:pPr>
              <w:jc w:val="center"/>
            </w:pPr>
          </w:p>
        </w:tc>
      </w:tr>
      <w:tr w:rsidR="00DF3565" w14:paraId="76484BA8" w14:textId="77777777" w:rsidTr="009C785D">
        <w:tc>
          <w:tcPr>
            <w:tcW w:w="6295" w:type="dxa"/>
          </w:tcPr>
          <w:p w14:paraId="198521E7" w14:textId="77777777" w:rsidR="00DF3565" w:rsidRDefault="00DF3565">
            <w:r>
              <w:t>Attend union events and parties.</w:t>
            </w:r>
          </w:p>
        </w:tc>
        <w:tc>
          <w:tcPr>
            <w:tcW w:w="1443" w:type="dxa"/>
          </w:tcPr>
          <w:p w14:paraId="23726C38" w14:textId="77777777" w:rsidR="00DF3565" w:rsidRDefault="00DF3565" w:rsidP="00607E08">
            <w:pPr>
              <w:jc w:val="center"/>
            </w:pPr>
            <w:r>
              <w:t>YES</w:t>
            </w:r>
          </w:p>
        </w:tc>
        <w:tc>
          <w:tcPr>
            <w:tcW w:w="2070" w:type="dxa"/>
          </w:tcPr>
          <w:p w14:paraId="77AE56E3" w14:textId="77777777" w:rsidR="00DF3565" w:rsidRDefault="00DF3565" w:rsidP="00607E08">
            <w:pPr>
              <w:jc w:val="center"/>
            </w:pPr>
            <w:r>
              <w:t>NO</w:t>
            </w:r>
          </w:p>
        </w:tc>
      </w:tr>
      <w:tr w:rsidR="00DF3565" w14:paraId="03FD37AE" w14:textId="77777777" w:rsidTr="009C785D">
        <w:tc>
          <w:tcPr>
            <w:tcW w:w="6295" w:type="dxa"/>
          </w:tcPr>
          <w:p w14:paraId="4E8B5C59" w14:textId="77777777" w:rsidR="00DF3565" w:rsidRDefault="00DF3565"/>
        </w:tc>
        <w:tc>
          <w:tcPr>
            <w:tcW w:w="1443" w:type="dxa"/>
          </w:tcPr>
          <w:p w14:paraId="5362A6F6" w14:textId="77777777" w:rsidR="00DF3565" w:rsidRDefault="00DF3565" w:rsidP="00607E08">
            <w:pPr>
              <w:jc w:val="center"/>
            </w:pPr>
          </w:p>
        </w:tc>
        <w:tc>
          <w:tcPr>
            <w:tcW w:w="2070" w:type="dxa"/>
          </w:tcPr>
          <w:p w14:paraId="0AAC0309" w14:textId="77777777" w:rsidR="00DF3565" w:rsidRDefault="00DF3565" w:rsidP="00607E08">
            <w:pPr>
              <w:jc w:val="center"/>
            </w:pPr>
          </w:p>
        </w:tc>
      </w:tr>
      <w:tr w:rsidR="00DF3565" w14:paraId="66615EFB" w14:textId="77777777" w:rsidTr="009C785D">
        <w:tc>
          <w:tcPr>
            <w:tcW w:w="6295" w:type="dxa"/>
          </w:tcPr>
          <w:p w14:paraId="244DC5A9" w14:textId="77777777" w:rsidR="00DF3565" w:rsidRDefault="00DF3565">
            <w:r>
              <w:t xml:space="preserve">Attend union meetings, ratification sessions and have full access to our website. Likewise, have 24/7/365 access to our leadership team to assist </w:t>
            </w:r>
          </w:p>
        </w:tc>
        <w:tc>
          <w:tcPr>
            <w:tcW w:w="1443" w:type="dxa"/>
          </w:tcPr>
          <w:p w14:paraId="56A4A7C1" w14:textId="77777777" w:rsidR="00DF3565" w:rsidRDefault="00DF3565" w:rsidP="00607E08">
            <w:pPr>
              <w:jc w:val="center"/>
            </w:pPr>
          </w:p>
          <w:p w14:paraId="05C47C45" w14:textId="77777777" w:rsidR="00E23A25" w:rsidRDefault="00E23A25" w:rsidP="00607E08">
            <w:pPr>
              <w:jc w:val="center"/>
            </w:pPr>
            <w:r>
              <w:t>YES</w:t>
            </w:r>
          </w:p>
        </w:tc>
        <w:tc>
          <w:tcPr>
            <w:tcW w:w="2070" w:type="dxa"/>
          </w:tcPr>
          <w:p w14:paraId="5DE01EC8" w14:textId="77777777" w:rsidR="00DF3565" w:rsidRDefault="00DF3565" w:rsidP="00607E08">
            <w:pPr>
              <w:jc w:val="center"/>
            </w:pPr>
          </w:p>
          <w:p w14:paraId="7A09D5F0" w14:textId="77777777" w:rsidR="00E23A25" w:rsidRDefault="00E23A25" w:rsidP="00607E08">
            <w:pPr>
              <w:jc w:val="center"/>
            </w:pPr>
            <w:r>
              <w:t>NO</w:t>
            </w:r>
          </w:p>
        </w:tc>
      </w:tr>
      <w:tr w:rsidR="00DF3565" w14:paraId="49740D03" w14:textId="77777777" w:rsidTr="009C785D">
        <w:tc>
          <w:tcPr>
            <w:tcW w:w="6295" w:type="dxa"/>
          </w:tcPr>
          <w:p w14:paraId="4085BAB2" w14:textId="77777777" w:rsidR="00DF3565" w:rsidRDefault="00DF3565"/>
        </w:tc>
        <w:tc>
          <w:tcPr>
            <w:tcW w:w="1443" w:type="dxa"/>
          </w:tcPr>
          <w:p w14:paraId="65580DA3" w14:textId="77777777" w:rsidR="00DF3565" w:rsidRDefault="00DF3565" w:rsidP="00607E08">
            <w:pPr>
              <w:jc w:val="center"/>
            </w:pPr>
          </w:p>
        </w:tc>
        <w:tc>
          <w:tcPr>
            <w:tcW w:w="2070" w:type="dxa"/>
          </w:tcPr>
          <w:p w14:paraId="7E101149" w14:textId="77777777" w:rsidR="00DF3565" w:rsidRDefault="00DF3565" w:rsidP="00607E08">
            <w:pPr>
              <w:jc w:val="center"/>
            </w:pPr>
          </w:p>
        </w:tc>
      </w:tr>
      <w:tr w:rsidR="00DF3565" w14:paraId="759A6685" w14:textId="77777777" w:rsidTr="009C785D">
        <w:tc>
          <w:tcPr>
            <w:tcW w:w="6295" w:type="dxa"/>
          </w:tcPr>
          <w:p w14:paraId="042410B9" w14:textId="0BF76CE5" w:rsidR="00DF3565" w:rsidRDefault="007C51D9">
            <w:r>
              <w:t>Access to our exclusive job posting bank.</w:t>
            </w:r>
          </w:p>
        </w:tc>
        <w:tc>
          <w:tcPr>
            <w:tcW w:w="1443" w:type="dxa"/>
          </w:tcPr>
          <w:p w14:paraId="76A23A82" w14:textId="77777777" w:rsidR="00DF3565" w:rsidRDefault="00DF3565" w:rsidP="00607E08">
            <w:pPr>
              <w:jc w:val="center"/>
            </w:pPr>
            <w:r>
              <w:t>YES</w:t>
            </w:r>
          </w:p>
        </w:tc>
        <w:tc>
          <w:tcPr>
            <w:tcW w:w="2070" w:type="dxa"/>
          </w:tcPr>
          <w:p w14:paraId="48AB7AFF" w14:textId="77777777" w:rsidR="00DF3565" w:rsidRDefault="00DF3565" w:rsidP="00607E08">
            <w:pPr>
              <w:jc w:val="center"/>
            </w:pPr>
            <w:r>
              <w:t>NO</w:t>
            </w:r>
          </w:p>
        </w:tc>
      </w:tr>
    </w:tbl>
    <w:p w14:paraId="3F5BED02" w14:textId="77777777" w:rsidR="009C785D" w:rsidRDefault="009C785D"/>
    <w:p w14:paraId="44A046C2" w14:textId="77777777" w:rsidR="004E5A7B" w:rsidRDefault="004E5A7B">
      <w:r>
        <w:t>Union dues are only paid when you have an assignment. If you do not have an adjunct assignment there are no dues. Dues are automatically deducted from your paycheck. There is no need to mail in dues.</w:t>
      </w:r>
    </w:p>
    <w:p w14:paraId="53C762EE" w14:textId="77777777" w:rsidR="00897B6B" w:rsidRDefault="004E5A7B">
      <w:r>
        <w:t xml:space="preserve">Become a member by </w:t>
      </w:r>
      <w:r w:rsidR="00897B6B">
        <w:t xml:space="preserve">visiting our website at </w:t>
      </w:r>
      <w:hyperlink r:id="rId6" w:history="1">
        <w:r w:rsidR="00897B6B" w:rsidRPr="00246FFD">
          <w:rPr>
            <w:rStyle w:val="Hyperlink"/>
          </w:rPr>
          <w:t>http://myafaonline.org</w:t>
        </w:r>
      </w:hyperlink>
      <w:r w:rsidR="00897B6B">
        <w:t xml:space="preserve"> and click the Become an AFA Member button at the top of the page.</w:t>
      </w:r>
    </w:p>
    <w:p w14:paraId="232B383A" w14:textId="77777777" w:rsidR="004E5A7B" w:rsidRDefault="00897B6B">
      <w:r w:rsidRPr="00897B6B">
        <w:rPr>
          <w:sz w:val="32"/>
          <w:szCs w:val="32"/>
        </w:rPr>
        <w:t>OR:</w:t>
      </w:r>
      <w:r w:rsidR="004E5A7B">
        <w:t xml:space="preserve"> </w:t>
      </w:r>
      <w:r>
        <w:t>Sign the enclosed agreement and return it to Tower Room 520</w:t>
      </w:r>
    </w:p>
    <w:p w14:paraId="4C18D4E6" w14:textId="77777777" w:rsidR="009C785D" w:rsidRDefault="009C785D"/>
    <w:sectPr w:rsidR="009C785D" w:rsidSect="009C785D">
      <w:headerReference w:type="default" r:id="rId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6DDC6" w14:textId="77777777" w:rsidR="00216379" w:rsidRDefault="00216379" w:rsidP="00DF3565">
      <w:pPr>
        <w:spacing w:after="0" w:line="240" w:lineRule="auto"/>
      </w:pPr>
      <w:r>
        <w:separator/>
      </w:r>
    </w:p>
  </w:endnote>
  <w:endnote w:type="continuationSeparator" w:id="0">
    <w:p w14:paraId="4253F219" w14:textId="77777777" w:rsidR="00216379" w:rsidRDefault="00216379" w:rsidP="00DF3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ECED7" w14:textId="77777777" w:rsidR="00216379" w:rsidRDefault="00216379" w:rsidP="00DF3565">
      <w:pPr>
        <w:spacing w:after="0" w:line="240" w:lineRule="auto"/>
      </w:pPr>
      <w:r>
        <w:separator/>
      </w:r>
    </w:p>
  </w:footnote>
  <w:footnote w:type="continuationSeparator" w:id="0">
    <w:p w14:paraId="13CA6EAC" w14:textId="77777777" w:rsidR="00216379" w:rsidRDefault="00216379" w:rsidP="00DF3565">
      <w:pPr>
        <w:spacing w:after="0" w:line="240" w:lineRule="auto"/>
      </w:pPr>
      <w:r>
        <w:continuationSeparator/>
      </w:r>
    </w:p>
  </w:footnote>
  <w:footnote w:id="1">
    <w:p w14:paraId="5EE9B71A" w14:textId="77777777" w:rsidR="009C785D" w:rsidRDefault="009C785D">
      <w:pPr>
        <w:pStyle w:val="FootnoteText"/>
      </w:pPr>
      <w:r>
        <w:rPr>
          <w:rStyle w:val="FootnoteReference"/>
        </w:rPr>
        <w:footnoteRef/>
      </w:r>
      <w:r>
        <w:t xml:space="preserve"> Within the Janus Supreme Court ruling unions now have the option to charge non-members for representation at employer disciplinary hearings or they may opt to simply not represent the non-member.</w:t>
      </w:r>
    </w:p>
  </w:footnote>
  <w:footnote w:id="2">
    <w:p w14:paraId="47224C7E" w14:textId="77777777" w:rsidR="009C785D" w:rsidRDefault="009C785D">
      <w:pPr>
        <w:pStyle w:val="FootnoteText"/>
      </w:pPr>
      <w:r>
        <w:rPr>
          <w:rStyle w:val="FootnoteReference"/>
        </w:rPr>
        <w:footnoteRef/>
      </w:r>
      <w:r>
        <w:t xml:space="preserve"> Under recently adopted NYS legislation non-union members are only entitled to limited protections against contractual violations (grievances).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AA3D" w14:textId="77777777" w:rsidR="00DF3565" w:rsidRDefault="00DF3565">
    <w:pPr>
      <w:pStyle w:val="Header"/>
    </w:pPr>
  </w:p>
  <w:p w14:paraId="7158C444" w14:textId="77777777" w:rsidR="00DF3565" w:rsidRDefault="00DF35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E08"/>
    <w:rsid w:val="00012BFF"/>
    <w:rsid w:val="00044D0D"/>
    <w:rsid w:val="00216379"/>
    <w:rsid w:val="00484F2D"/>
    <w:rsid w:val="004E5A7B"/>
    <w:rsid w:val="005714F7"/>
    <w:rsid w:val="00607E08"/>
    <w:rsid w:val="0069689F"/>
    <w:rsid w:val="007C51D9"/>
    <w:rsid w:val="00897B6B"/>
    <w:rsid w:val="009C785D"/>
    <w:rsid w:val="00AE521E"/>
    <w:rsid w:val="00AF661F"/>
    <w:rsid w:val="00BF173E"/>
    <w:rsid w:val="00CD17B4"/>
    <w:rsid w:val="00DF3565"/>
    <w:rsid w:val="00E23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C884D"/>
  <w15:chartTrackingRefBased/>
  <w15:docId w15:val="{6820D300-A2B4-4009-83C3-A53E93A5E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b/>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7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3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565"/>
  </w:style>
  <w:style w:type="paragraph" w:styleId="Footer">
    <w:name w:val="footer"/>
    <w:basedOn w:val="Normal"/>
    <w:link w:val="FooterChar"/>
    <w:uiPriority w:val="99"/>
    <w:unhideWhenUsed/>
    <w:rsid w:val="00DF3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565"/>
  </w:style>
  <w:style w:type="character" w:styleId="Hyperlink">
    <w:name w:val="Hyperlink"/>
    <w:basedOn w:val="DefaultParagraphFont"/>
    <w:uiPriority w:val="99"/>
    <w:unhideWhenUsed/>
    <w:rsid w:val="004E5A7B"/>
    <w:rPr>
      <w:color w:val="0563C1" w:themeColor="hyperlink"/>
      <w:u w:val="single"/>
    </w:rPr>
  </w:style>
  <w:style w:type="paragraph" w:styleId="FootnoteText">
    <w:name w:val="footnote text"/>
    <w:basedOn w:val="Normal"/>
    <w:link w:val="FootnoteTextChar"/>
    <w:uiPriority w:val="99"/>
    <w:semiHidden/>
    <w:unhideWhenUsed/>
    <w:rsid w:val="009C78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785D"/>
    <w:rPr>
      <w:sz w:val="20"/>
      <w:szCs w:val="20"/>
    </w:rPr>
  </w:style>
  <w:style w:type="character" w:styleId="FootnoteReference">
    <w:name w:val="footnote reference"/>
    <w:basedOn w:val="DefaultParagraphFont"/>
    <w:uiPriority w:val="99"/>
    <w:semiHidden/>
    <w:unhideWhenUsed/>
    <w:rsid w:val="009C785D"/>
    <w:rPr>
      <w:vertAlign w:val="superscript"/>
    </w:rPr>
  </w:style>
  <w:style w:type="character" w:styleId="UnresolvedMention">
    <w:name w:val="Unresolved Mention"/>
    <w:basedOn w:val="DefaultParagraphFont"/>
    <w:uiPriority w:val="99"/>
    <w:semiHidden/>
    <w:unhideWhenUsed/>
    <w:rsid w:val="00897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yafaonline.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Nassau Community College</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Erben, Richard</dc:creator>
  <cp:keywords/>
  <dc:description/>
  <cp:lastModifiedBy>Erben, Richard</cp:lastModifiedBy>
  <cp:revision>4</cp:revision>
  <cp:lastPrinted>2019-09-12T20:36:00Z</cp:lastPrinted>
  <dcterms:created xsi:type="dcterms:W3CDTF">2019-09-03T14:47:00Z</dcterms:created>
  <dcterms:modified xsi:type="dcterms:W3CDTF">2022-02-15T12:19:00Z</dcterms:modified>
</cp:coreProperties>
</file>